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D8796" w14:textId="2C21B067" w:rsidR="0063702D" w:rsidRPr="00DE6EDE" w:rsidRDefault="0063702D" w:rsidP="0063702D">
      <w:pPr>
        <w:rPr>
          <w:b/>
        </w:rPr>
      </w:pPr>
      <w:r w:rsidRPr="00DE6EDE">
        <w:rPr>
          <w:b/>
        </w:rPr>
        <w:t>Question 1. There are a large number of fractionation schedules being considered for stereotactic lung cancer treatments (</w:t>
      </w:r>
      <w:proofErr w:type="spellStart"/>
      <w:r w:rsidRPr="00DE6EDE">
        <w:rPr>
          <w:b/>
        </w:rPr>
        <w:t>Kestin</w:t>
      </w:r>
      <w:proofErr w:type="spellEnd"/>
      <w:r w:rsidRPr="00DE6EDE">
        <w:rPr>
          <w:b/>
        </w:rPr>
        <w:t xml:space="preserve"> et al</w:t>
      </w:r>
      <w:r w:rsidR="006A24FA">
        <w:rPr>
          <w:b/>
        </w:rPr>
        <w:t>.</w:t>
      </w:r>
      <w:r w:rsidRPr="00DE6EDE">
        <w:rPr>
          <w:b/>
        </w:rPr>
        <w:t xml:space="preserve"> 2014 ‘Dose-response relationship with clinical outcome for lung ste</w:t>
      </w:r>
      <w:r w:rsidR="006A24FA">
        <w:rPr>
          <w:b/>
        </w:rPr>
        <w:t>r</w:t>
      </w:r>
      <w:r w:rsidRPr="00DE6EDE">
        <w:rPr>
          <w:b/>
        </w:rPr>
        <w:t xml:space="preserve">eotactic body radiotherapy (SBRT) delivered via online image guidance’ Radiotherapy and Oncology; 110: 499-504). Two schedules considered are the following: </w:t>
      </w:r>
    </w:p>
    <w:p w14:paraId="17A7718B" w14:textId="77777777" w:rsidR="0063702D" w:rsidRPr="00DE6EDE" w:rsidRDefault="0063702D" w:rsidP="0063702D">
      <w:pPr>
        <w:rPr>
          <w:b/>
        </w:rPr>
      </w:pPr>
      <w:r w:rsidRPr="00DE6EDE">
        <w:rPr>
          <w:b/>
        </w:rPr>
        <w:t xml:space="preserve"> </w:t>
      </w:r>
    </w:p>
    <w:p w14:paraId="6C711737" w14:textId="77777777" w:rsidR="00AA3F21" w:rsidRPr="00DE6EDE" w:rsidRDefault="0063702D" w:rsidP="0063702D">
      <w:pPr>
        <w:rPr>
          <w:b/>
        </w:rPr>
      </w:pPr>
      <w:proofErr w:type="gramStart"/>
      <w:r w:rsidRPr="00DE6EDE">
        <w:rPr>
          <w:b/>
        </w:rPr>
        <w:t>18</w:t>
      </w:r>
      <w:proofErr w:type="gramEnd"/>
      <w:r w:rsidRPr="00DE6EDE">
        <w:rPr>
          <w:b/>
        </w:rPr>
        <w:t xml:space="preserve"> </w:t>
      </w:r>
      <w:proofErr w:type="spellStart"/>
      <w:r w:rsidRPr="00DE6EDE">
        <w:rPr>
          <w:b/>
        </w:rPr>
        <w:t>Gy</w:t>
      </w:r>
      <w:proofErr w:type="spellEnd"/>
      <w:r w:rsidRPr="00DE6EDE">
        <w:rPr>
          <w:b/>
        </w:rPr>
        <w:t xml:space="preserve"> x 3 fractions </w:t>
      </w:r>
    </w:p>
    <w:p w14:paraId="0DBB9221" w14:textId="49948268" w:rsidR="0063702D" w:rsidRPr="00DE6EDE" w:rsidRDefault="0063702D" w:rsidP="0063702D">
      <w:pPr>
        <w:rPr>
          <w:b/>
        </w:rPr>
      </w:pPr>
      <w:r w:rsidRPr="00DE6EDE">
        <w:rPr>
          <w:b/>
        </w:rPr>
        <w:t xml:space="preserve">7.5 </w:t>
      </w:r>
      <w:proofErr w:type="spellStart"/>
      <w:r w:rsidRPr="00DE6EDE">
        <w:rPr>
          <w:b/>
        </w:rPr>
        <w:t>Gy</w:t>
      </w:r>
      <w:proofErr w:type="spellEnd"/>
      <w:r w:rsidRPr="00DE6EDE">
        <w:rPr>
          <w:b/>
        </w:rPr>
        <w:t xml:space="preserve"> x </w:t>
      </w:r>
      <w:proofErr w:type="gramStart"/>
      <w:r w:rsidRPr="00DE6EDE">
        <w:rPr>
          <w:b/>
        </w:rPr>
        <w:t>8</w:t>
      </w:r>
      <w:proofErr w:type="gramEnd"/>
      <w:r w:rsidRPr="00DE6EDE">
        <w:rPr>
          <w:b/>
        </w:rPr>
        <w:t xml:space="preserve"> fractions </w:t>
      </w:r>
    </w:p>
    <w:p w14:paraId="3F6BA188" w14:textId="12845F81" w:rsidR="0063702D" w:rsidRPr="00DE6EDE" w:rsidRDefault="0063702D" w:rsidP="0063702D">
      <w:pPr>
        <w:rPr>
          <w:b/>
        </w:rPr>
      </w:pPr>
      <w:r w:rsidRPr="00DE6EDE">
        <w:rPr>
          <w:b/>
        </w:rPr>
        <w:t xml:space="preserve"> The alpha/beta value for lung tumors has been </w:t>
      </w:r>
      <w:r w:rsidR="006A24FA">
        <w:rPr>
          <w:b/>
        </w:rPr>
        <w:t>foun</w:t>
      </w:r>
      <w:r w:rsidRPr="00DE6EDE">
        <w:rPr>
          <w:b/>
        </w:rPr>
        <w:t xml:space="preserve">d to range between </w:t>
      </w:r>
      <w:proofErr w:type="gramStart"/>
      <w:r w:rsidRPr="00DE6EDE">
        <w:rPr>
          <w:b/>
        </w:rPr>
        <w:t>4</w:t>
      </w:r>
      <w:proofErr w:type="gramEnd"/>
      <w:r w:rsidRPr="00DE6EDE">
        <w:rPr>
          <w:b/>
        </w:rPr>
        <w:t xml:space="preserve"> and 8 </w:t>
      </w:r>
      <w:proofErr w:type="spellStart"/>
      <w:r w:rsidRPr="00DE6EDE">
        <w:rPr>
          <w:b/>
        </w:rPr>
        <w:t>Gy</w:t>
      </w:r>
      <w:proofErr w:type="spellEnd"/>
      <w:r w:rsidRPr="00DE6EDE">
        <w:rPr>
          <w:b/>
        </w:rPr>
        <w:t xml:space="preserve"> (Van </w:t>
      </w:r>
      <w:proofErr w:type="spellStart"/>
      <w:r w:rsidRPr="00DE6EDE">
        <w:rPr>
          <w:b/>
        </w:rPr>
        <w:t>Leeuwen</w:t>
      </w:r>
      <w:proofErr w:type="spellEnd"/>
      <w:r w:rsidRPr="00DE6EDE">
        <w:rPr>
          <w:b/>
        </w:rPr>
        <w:t xml:space="preserve">, C. M., A. L. </w:t>
      </w:r>
      <w:proofErr w:type="spellStart"/>
      <w:r w:rsidRPr="00DE6EDE">
        <w:rPr>
          <w:b/>
        </w:rPr>
        <w:t>Oei</w:t>
      </w:r>
      <w:proofErr w:type="spellEnd"/>
      <w:r w:rsidRPr="00DE6EDE">
        <w:rPr>
          <w:b/>
        </w:rPr>
        <w:t xml:space="preserve">, J. </w:t>
      </w:r>
      <w:proofErr w:type="spellStart"/>
      <w:r w:rsidRPr="00DE6EDE">
        <w:rPr>
          <w:b/>
        </w:rPr>
        <w:t>Crezee</w:t>
      </w:r>
      <w:proofErr w:type="spellEnd"/>
      <w:r w:rsidRPr="00DE6EDE">
        <w:rPr>
          <w:b/>
        </w:rPr>
        <w:t xml:space="preserve">, A. Bel, N. A. P. Franken, L. J. A. </w:t>
      </w:r>
      <w:proofErr w:type="spellStart"/>
      <w:r w:rsidRPr="00DE6EDE">
        <w:rPr>
          <w:b/>
        </w:rPr>
        <w:t>Stalpers</w:t>
      </w:r>
      <w:proofErr w:type="spellEnd"/>
      <w:r w:rsidRPr="00DE6EDE">
        <w:rPr>
          <w:b/>
        </w:rPr>
        <w:t xml:space="preserve"> and H. P. </w:t>
      </w:r>
      <w:proofErr w:type="spellStart"/>
      <w:r w:rsidRPr="00DE6EDE">
        <w:rPr>
          <w:b/>
        </w:rPr>
        <w:t>Kok</w:t>
      </w:r>
      <w:proofErr w:type="spellEnd"/>
      <w:r w:rsidRPr="00DE6EDE">
        <w:rPr>
          <w:b/>
        </w:rPr>
        <w:t xml:space="preserve"> (2018). "The alfa and beta of tumors: a review of parameters of the linear-quadratic </w:t>
      </w:r>
      <w:proofErr w:type="gramStart"/>
      <w:r w:rsidRPr="00DE6EDE">
        <w:rPr>
          <w:b/>
        </w:rPr>
        <w:t>model,</w:t>
      </w:r>
      <w:proofErr w:type="gramEnd"/>
      <w:r w:rsidRPr="00DE6EDE">
        <w:rPr>
          <w:b/>
        </w:rPr>
        <w:t xml:space="preserve"> derived from clinical radiotherapy studies." Radiation Oncology 13(1).). An estimated alpha/beta value of 4Gy </w:t>
      </w:r>
      <w:proofErr w:type="gramStart"/>
      <w:r w:rsidRPr="00DE6EDE">
        <w:rPr>
          <w:b/>
        </w:rPr>
        <w:t>could b</w:t>
      </w:r>
      <w:r w:rsidR="00DE6EDE">
        <w:rPr>
          <w:b/>
        </w:rPr>
        <w:t>e used</w:t>
      </w:r>
      <w:proofErr w:type="gramEnd"/>
      <w:r w:rsidR="00DE6EDE">
        <w:rPr>
          <w:b/>
        </w:rPr>
        <w:t xml:space="preserve"> for </w:t>
      </w:r>
      <w:r w:rsidR="006A24FA">
        <w:rPr>
          <w:b/>
        </w:rPr>
        <w:t>healthy</w:t>
      </w:r>
      <w:r w:rsidR="00DE6EDE">
        <w:rPr>
          <w:b/>
        </w:rPr>
        <w:t xml:space="preserve"> tissue lung. </w:t>
      </w:r>
    </w:p>
    <w:p w14:paraId="7EC236F7" w14:textId="21E26514" w:rsidR="0063702D" w:rsidRPr="00DE6EDE" w:rsidRDefault="0063702D" w:rsidP="0063702D">
      <w:pPr>
        <w:rPr>
          <w:b/>
        </w:rPr>
      </w:pPr>
      <w:r w:rsidRPr="00DE6EDE">
        <w:rPr>
          <w:b/>
        </w:rPr>
        <w:t>You can assume that 50% of the normal lung volume receives 60% of the target dose</w:t>
      </w:r>
      <w:r w:rsidR="006A24FA">
        <w:rPr>
          <w:b/>
        </w:rPr>
        <w:t>,</w:t>
      </w:r>
      <w:r w:rsidRPr="00DE6EDE">
        <w:rPr>
          <w:b/>
        </w:rPr>
        <w:t xml:space="preserve"> and 50% of the </w:t>
      </w:r>
      <w:r w:rsidR="006A24FA">
        <w:rPr>
          <w:b/>
        </w:rPr>
        <w:t>average</w:t>
      </w:r>
      <w:r w:rsidRPr="00DE6EDE">
        <w:rPr>
          <w:b/>
        </w:rPr>
        <w:t xml:space="preserve"> lung volume r</w:t>
      </w:r>
      <w:r w:rsidR="00DE6EDE">
        <w:rPr>
          <w:b/>
        </w:rPr>
        <w:t>eceives 10% of the target dose.</w:t>
      </w:r>
    </w:p>
    <w:p w14:paraId="2E81224A" w14:textId="5A3DE22A" w:rsidR="00852883" w:rsidRPr="00DE6EDE" w:rsidRDefault="0063702D" w:rsidP="00852883">
      <w:pPr>
        <w:pStyle w:val="ListParagraph"/>
        <w:numPr>
          <w:ilvl w:val="0"/>
          <w:numId w:val="1"/>
        </w:numPr>
        <w:rPr>
          <w:b/>
        </w:rPr>
      </w:pPr>
      <w:r w:rsidRPr="00DE6EDE">
        <w:rPr>
          <w:b/>
        </w:rPr>
        <w:t xml:space="preserve">How would you compare these different prescription doses to establish if they are equivalent or not? </w:t>
      </w:r>
    </w:p>
    <w:p w14:paraId="72E2B3AF" w14:textId="089DC5D6" w:rsidR="0063702D" w:rsidRDefault="00852883" w:rsidP="00DE6EDE">
      <w:pPr>
        <w:ind w:firstLine="720"/>
      </w:pPr>
      <w:r w:rsidRPr="00852883">
        <w:t>In a national expert assessment, patients who under</w:t>
      </w:r>
      <w:r>
        <w:t>go</w:t>
      </w:r>
      <w:r w:rsidRPr="00852883">
        <w:t xml:space="preserve"> treatment with various doses and classification regimens </w:t>
      </w:r>
      <w:r>
        <w:t>are diagnosed. A</w:t>
      </w:r>
      <w:r w:rsidRPr="00852883">
        <w:t xml:space="preserve">rea control </w:t>
      </w:r>
      <w:r>
        <w:t>is significantly improving</w:t>
      </w:r>
      <w:r w:rsidRPr="00852883">
        <w:t xml:space="preserve"> with BED greater than 1</w:t>
      </w:r>
      <w:r>
        <w:t>8</w:t>
      </w:r>
      <w:r w:rsidRPr="00852883">
        <w:t xml:space="preserve"> </w:t>
      </w:r>
      <w:proofErr w:type="spellStart"/>
      <w:r w:rsidRPr="00852883">
        <w:t>Gy</w:t>
      </w:r>
      <w:proofErr w:type="spellEnd"/>
      <w:r w:rsidRPr="00852883">
        <w:t xml:space="preserve"> (is center dose), 5 </w:t>
      </w:r>
      <w:r>
        <w:t>years LC 84% BED10 &gt; 7.5</w:t>
      </w:r>
      <w:r w:rsidRPr="00852883">
        <w:t xml:space="preserve"> </w:t>
      </w:r>
      <w:proofErr w:type="spellStart"/>
      <w:r w:rsidRPr="00852883">
        <w:t>Gy</w:t>
      </w:r>
      <w:proofErr w:type="spellEnd"/>
      <w:r w:rsidRPr="00852883">
        <w:t xml:space="preserve">, and 37% BED10 &lt; 100 </w:t>
      </w:r>
      <w:proofErr w:type="spellStart"/>
      <w:r w:rsidRPr="00852883">
        <w:t>Gy</w:t>
      </w:r>
      <w:proofErr w:type="spellEnd"/>
      <w:r w:rsidRPr="00852883">
        <w:t xml:space="preserve"> (p &lt; 0.001). A significant relationship </w:t>
      </w:r>
      <w:proofErr w:type="gramStart"/>
      <w:r>
        <w:t>is found</w:t>
      </w:r>
      <w:proofErr w:type="gramEnd"/>
      <w:r>
        <w:t xml:space="preserve"> between BED10 &gt; 7.</w:t>
      </w:r>
      <w:r w:rsidRPr="00852883">
        <w:t xml:space="preserve">5 </w:t>
      </w:r>
      <w:proofErr w:type="spellStart"/>
      <w:r w:rsidRPr="00852883">
        <w:t>Gy</w:t>
      </w:r>
      <w:proofErr w:type="spellEnd"/>
      <w:r w:rsidRPr="00852883">
        <w:t xml:space="preserve"> (PTV margin prescription, </w:t>
      </w:r>
      <w:r w:rsidR="006A24FA">
        <w:t>discern</w:t>
      </w:r>
      <w:r w:rsidRPr="00852883">
        <w:t xml:space="preserve">er dose 60%-90%) and higher normal controls. After grouping these studies according to the BED range (low, medium, high), they </w:t>
      </w:r>
      <w:r>
        <w:t>found that BED was worse than 8</w:t>
      </w:r>
      <w:r w:rsidRPr="00852883">
        <w:t xml:space="preserve">.2 </w:t>
      </w:r>
      <w:proofErr w:type="spellStart"/>
      <w:r w:rsidRPr="00852883">
        <w:t>Gy</w:t>
      </w:r>
      <w:proofErr w:type="spellEnd"/>
      <w:r w:rsidRPr="00852883">
        <w:t xml:space="preserve"> and BED exceeded 146 </w:t>
      </w:r>
      <w:proofErr w:type="spellStart"/>
      <w:r w:rsidRPr="00852883">
        <w:t>Gy</w:t>
      </w:r>
      <w:proofErr w:type="spellEnd"/>
      <w:r w:rsidRPr="00852883">
        <w:t>.</w:t>
      </w:r>
      <w:r w:rsidR="00D54D57">
        <w:t xml:space="preserve"> R</w:t>
      </w:r>
      <w:r w:rsidRPr="00852883">
        <w:t xml:space="preserve">esearchers at the Illinois </w:t>
      </w:r>
      <w:r w:rsidR="00D54D57" w:rsidRPr="00852883">
        <w:t xml:space="preserve">University of </w:t>
      </w:r>
      <w:r w:rsidRPr="00852883">
        <w:t>at Chicago used the National Cancer Database to examine different SBRT measurement schedules and found that</w:t>
      </w:r>
      <w:r w:rsidR="00D54D57">
        <w:t xml:space="preserve"> sick people</w:t>
      </w:r>
      <w:r w:rsidRPr="00852883">
        <w:t xml:space="preserve"> with T2 </w:t>
      </w:r>
      <w:r w:rsidR="00D54D57">
        <w:t xml:space="preserve">tumors received BED10 &gt; 150 </w:t>
      </w:r>
      <w:proofErr w:type="spellStart"/>
      <w:r w:rsidR="00D54D57">
        <w:t>Gy</w:t>
      </w:r>
      <w:proofErr w:type="spellEnd"/>
      <w:r w:rsidR="00D54D57">
        <w:t xml:space="preserve">, approximately 54 </w:t>
      </w:r>
      <w:proofErr w:type="spellStart"/>
      <w:r w:rsidR="00D54D57">
        <w:t>Gy</w:t>
      </w:r>
      <w:proofErr w:type="spellEnd"/>
      <w:r w:rsidR="00D54D57">
        <w:t xml:space="preserve"> per unit</w:t>
      </w:r>
      <w:r w:rsidRPr="00852883">
        <w:t xml:space="preserve">. Their survival rates were significantly higher than those </w:t>
      </w:r>
      <w:r w:rsidR="00D54D57">
        <w:t>nursed</w:t>
      </w:r>
      <w:r>
        <w:t xml:space="preserve"> with </w:t>
      </w:r>
      <w:r w:rsidR="00D54D57">
        <w:t>BED10 were</w:t>
      </w:r>
      <w:r>
        <w:t xml:space="preserve"> &lt;150 </w:t>
      </w:r>
      <w:proofErr w:type="spellStart"/>
      <w:r>
        <w:t>Gy</w:t>
      </w:r>
      <w:proofErr w:type="spellEnd"/>
      <w:r>
        <w:t xml:space="preserve">. </w:t>
      </w:r>
      <w:r w:rsidRPr="00852883">
        <w:t xml:space="preserve"> Today, the </w:t>
      </w:r>
      <w:r w:rsidR="00D54D57" w:rsidRPr="00852883">
        <w:t>suggested</w:t>
      </w:r>
      <w:r w:rsidRPr="00852883">
        <w:t xml:space="preserve"> dose f</w:t>
      </w:r>
      <w:r w:rsidR="00D54D57">
        <w:t xml:space="preserve">or SBRT is a low dose of 100 </w:t>
      </w:r>
      <w:proofErr w:type="spellStart"/>
      <w:r w:rsidR="00D54D57">
        <w:t>Gy</w:t>
      </w:r>
      <w:proofErr w:type="spellEnd"/>
      <w:r w:rsidR="00D54D57">
        <w:t xml:space="preserve"> </w:t>
      </w:r>
      <w:r w:rsidRPr="00852883">
        <w:t xml:space="preserve">BED for separation of </w:t>
      </w:r>
      <w:r w:rsidR="006A24FA">
        <w:t xml:space="preserve">the </w:t>
      </w:r>
      <w:r w:rsidRPr="00852883">
        <w:t xml:space="preserve">target </w:t>
      </w:r>
      <w:r w:rsidR="00D54D57">
        <w:t>capacity</w:t>
      </w:r>
      <w:r w:rsidRPr="00852883">
        <w:t>, usually given in one to eight servings.</w:t>
      </w:r>
    </w:p>
    <w:p w14:paraId="7E143037" w14:textId="47142EE9" w:rsidR="0063702D" w:rsidRPr="00DE6EDE" w:rsidRDefault="0063702D" w:rsidP="00852883">
      <w:pPr>
        <w:pStyle w:val="ListParagraph"/>
        <w:numPr>
          <w:ilvl w:val="0"/>
          <w:numId w:val="1"/>
        </w:numPr>
        <w:rPr>
          <w:b/>
        </w:rPr>
      </w:pPr>
      <w:r w:rsidRPr="00DE6EDE">
        <w:rPr>
          <w:b/>
        </w:rPr>
        <w:t xml:space="preserve">Using the methodology you have suggested in question </w:t>
      </w:r>
      <w:proofErr w:type="gramStart"/>
      <w:r w:rsidRPr="00DE6EDE">
        <w:rPr>
          <w:b/>
        </w:rPr>
        <w:t>1</w:t>
      </w:r>
      <w:proofErr w:type="gramEnd"/>
      <w:r w:rsidRPr="00DE6EDE">
        <w:rPr>
          <w:b/>
        </w:rPr>
        <w:t xml:space="preserve"> calculate equivalent dose values for all of these schedules. Which of these schedules is likely to result in the </w:t>
      </w:r>
      <w:r w:rsidR="006A24FA">
        <w:rPr>
          <w:b/>
        </w:rPr>
        <w:t>most significan</w:t>
      </w:r>
      <w:r w:rsidRPr="00DE6EDE">
        <w:rPr>
          <w:b/>
        </w:rPr>
        <w:t xml:space="preserve">t impact </w:t>
      </w:r>
      <w:r w:rsidR="006A24FA">
        <w:rPr>
          <w:b/>
        </w:rPr>
        <w:t>on</w:t>
      </w:r>
      <w:r w:rsidRPr="00DE6EDE">
        <w:rPr>
          <w:b/>
        </w:rPr>
        <w:t xml:space="preserve"> the tumor? </w:t>
      </w:r>
    </w:p>
    <w:p w14:paraId="2D075FCA" w14:textId="79D53EE5" w:rsidR="00A628B7" w:rsidRPr="00A628B7" w:rsidRDefault="00852883" w:rsidP="00CB1FD2">
      <w:pPr>
        <w:rPr>
          <w:rFonts w:eastAsiaTheme="minorEastAsia"/>
        </w:rPr>
      </w:pPr>
      <w:r>
        <w:t xml:space="preserve">BED = </w:t>
      </w:r>
      <w:r w:rsidR="00CB1FD2">
        <w:t xml:space="preserve"> </w:t>
      </w:r>
      <m:oMath>
        <m:r>
          <w:rPr>
            <w:rFonts w:ascii="Cambria Math" w:hAnsi="Cambria Math"/>
          </w:rPr>
          <m:t>nd(1+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color w:val="222222"/>
                    <w:sz w:val="21"/>
                    <w:szCs w:val="21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222222"/>
                        <w:sz w:val="21"/>
                        <w:szCs w:val="21"/>
                      </w:rPr>
                      <m:t>α</m:t>
                    </m:r>
                  </m:den>
                </m:f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 w:cs="Arial"/>
                    <w:color w:val="222222"/>
                    <w:sz w:val="21"/>
                    <w:szCs w:val="21"/>
                    <w:shd w:val="clear" w:color="auto" w:fill="FFFFFF"/>
                  </w:rPr>
                  <m:t>β</m:t>
                </m:r>
              </m:den>
            </m:f>
            <m:ctrlPr>
              <w:rPr>
                <w:rFonts w:ascii="Cambria Math" w:hAnsi="Arial" w:cs="Arial"/>
                <w:color w:val="222222"/>
                <w:sz w:val="21"/>
                <w:szCs w:val="21"/>
                <w:shd w:val="clear" w:color="auto" w:fill="FFFFFF"/>
              </w:rPr>
            </m:ctrlPr>
          </m:e>
        </m:d>
        <m:r>
          <w:rPr>
            <w:rFonts w:ascii="Cambria Math" w:hAnsi="Cambria Math"/>
          </w:rPr>
          <m:t>)- [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T-Tk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Times New Roman" w:hAnsi="Cambria Math" w:cs="Arial"/>
                <w:color w:val="222222"/>
                <w:sz w:val="21"/>
                <w:szCs w:val="21"/>
              </w:rPr>
              <m:t>α</m:t>
            </m:r>
            <m:r>
              <m:rPr>
                <m:sty m:val="p"/>
              </m:rPr>
              <w:rPr>
                <w:rFonts w:ascii="Cambria Math" w:eastAsia="Times New Roman" w:hAnsi="Arial" w:cs="Arial"/>
                <w:color w:val="222222"/>
                <w:sz w:val="21"/>
                <w:szCs w:val="21"/>
              </w:rPr>
              <m:t>Tp</m:t>
            </m:r>
          </m:den>
        </m:f>
        <m:r>
          <w:rPr>
            <w:rFonts w:ascii="Cambria Math" w:hAnsi="Cambria Math"/>
          </w:rPr>
          <m:t>]</m:t>
        </m:r>
      </m:oMath>
    </w:p>
    <w:p w14:paraId="2CF3B7DE" w14:textId="09C02FD8" w:rsidR="00A628B7" w:rsidRPr="00A628B7" w:rsidRDefault="00BA4D50" w:rsidP="00CB1FD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=3×18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color w:val="222222"/>
                          <w:sz w:val="21"/>
                          <w:szCs w:val="21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Arial"/>
                          <w:color w:val="222222"/>
                          <w:sz w:val="21"/>
                          <w:szCs w:val="21"/>
                        </w:rPr>
                        <m:t>18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Arial"/>
                          <w:color w:val="222222"/>
                          <w:sz w:val="21"/>
                          <w:szCs w:val="21"/>
                        </w:rPr>
                        <m:t>4</m:t>
                      </m:r>
                    </m:den>
                  </m:f>
                  <m:ctrlPr>
                    <w:rPr>
                      <w:rFonts w:ascii="Cambria Math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</m:ctrlPr>
                </m:e>
              </m:d>
            </m:e>
          </m:d>
          <m:r>
            <w:rPr>
              <w:rFonts w:ascii="Cambria Math" w:hAnsi="Cambria Math"/>
            </w:rPr>
            <m:t xml:space="preserve">-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100-60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222222"/>
                      <w:sz w:val="21"/>
                      <w:szCs w:val="21"/>
                    </w:rPr>
                    <m:t>4</m:t>
                  </m:r>
                </m:den>
              </m:f>
            </m:e>
          </m:d>
        </m:oMath>
      </m:oMathPara>
    </w:p>
    <w:p w14:paraId="6EA1CF7A" w14:textId="6AC11DD8" w:rsidR="00A628B7" w:rsidRPr="00A628B7" w:rsidRDefault="00A628B7" w:rsidP="00CB1FD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=297- 6.931</m:t>
          </m:r>
        </m:oMath>
      </m:oMathPara>
    </w:p>
    <w:p w14:paraId="75B187FB" w14:textId="2D5A4112" w:rsidR="00A628B7" w:rsidRPr="00A628B7" w:rsidRDefault="00A628B7" w:rsidP="00CB1FD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=290.569</m:t>
          </m:r>
        </m:oMath>
      </m:oMathPara>
    </w:p>
    <w:p w14:paraId="33BF5BF2" w14:textId="77777777" w:rsidR="00A628B7" w:rsidRPr="00A628B7" w:rsidRDefault="00A628B7" w:rsidP="00CB1FD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w:lastRenderedPageBreak/>
            <m:t>BED</m:t>
          </m:r>
          <m:r>
            <m:rPr>
              <m:sty m:val="p"/>
            </m:rPr>
            <w:rPr>
              <w:rFonts w:ascii="Cambria Math" w:hAnsi="Cambria Math"/>
            </w:rPr>
            <m:t xml:space="preserve">=  </m:t>
          </m:r>
          <m:r>
            <w:rPr>
              <w:rFonts w:ascii="Cambria Math" w:hAnsi="Cambria Math"/>
            </w:rPr>
            <m:t>nd(1+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color w:val="222222"/>
                      <w:sz w:val="21"/>
                      <w:szCs w:val="21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d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Arial"/>
                          <w:color w:val="222222"/>
                          <w:sz w:val="21"/>
                          <w:szCs w:val="21"/>
                        </w:rPr>
                        <m:t>α</m:t>
                      </m:r>
                    </m:den>
                  </m:f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222222"/>
                      <w:sz w:val="21"/>
                      <w:szCs w:val="21"/>
                      <w:shd w:val="clear" w:color="auto" w:fill="FFFFFF"/>
                    </w:rPr>
                    <m:t>β</m:t>
                  </m:r>
                </m:den>
              </m:f>
              <m:ctrlPr>
                <w:rPr>
                  <w:rFonts w:ascii="Cambria Math" w:hAnsi="Arial" w:cs="Arial"/>
                  <w:color w:val="222222"/>
                  <w:sz w:val="21"/>
                  <w:szCs w:val="21"/>
                  <w:shd w:val="clear" w:color="auto" w:fill="FFFFFF"/>
                </w:rPr>
              </m:ctrlPr>
            </m:e>
          </m:d>
          <m:r>
            <w:rPr>
              <w:rFonts w:ascii="Cambria Math" w:hAnsi="Cambria Math"/>
            </w:rPr>
            <m:t>)- [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T-Tk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222222"/>
                  <w:sz w:val="21"/>
                  <w:szCs w:val="21"/>
                </w:rPr>
                <m:t>α</m:t>
              </m:r>
              <m:r>
                <m:rPr>
                  <m:sty m:val="p"/>
                </m:rPr>
                <w:rPr>
                  <w:rFonts w:ascii="Cambria Math" w:eastAsia="Times New Roman" w:hAnsi="Arial" w:cs="Arial"/>
                  <w:color w:val="222222"/>
                  <w:sz w:val="21"/>
                  <w:szCs w:val="21"/>
                </w:rPr>
                <m:t>Tp</m:t>
              </m:r>
            </m:den>
          </m:f>
        </m:oMath>
      </m:oMathPara>
    </w:p>
    <w:p w14:paraId="069FB6E3" w14:textId="602425E1" w:rsidR="00A628B7" w:rsidRPr="00A628B7" w:rsidRDefault="00A628B7" w:rsidP="00CB1FD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=8×7.5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color w:val="222222"/>
                          <w:sz w:val="21"/>
                          <w:szCs w:val="21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Arial"/>
                          <w:color w:val="222222"/>
                          <w:sz w:val="21"/>
                          <w:szCs w:val="21"/>
                        </w:rPr>
                        <m:t>8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Arial"/>
                          <w:color w:val="222222"/>
                          <w:sz w:val="21"/>
                          <w:szCs w:val="21"/>
                        </w:rPr>
                        <m:t>4</m:t>
                      </m:r>
                    </m:den>
                  </m:f>
                  <m:ctrlPr>
                    <w:rPr>
                      <w:rFonts w:ascii="Cambria Math" w:hAnsi="Arial" w:cs="Arial"/>
                      <w:color w:val="222222"/>
                      <w:sz w:val="21"/>
                      <w:szCs w:val="21"/>
                      <w:shd w:val="clear" w:color="auto" w:fill="FFFFFF"/>
                    </w:rPr>
                  </m:ctrlPr>
                </m:e>
              </m:d>
            </m:e>
          </m:d>
          <m:r>
            <w:rPr>
              <w:rFonts w:ascii="Cambria Math" w:hAnsi="Cambria Math"/>
            </w:rPr>
            <m:t xml:space="preserve">-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100-60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222222"/>
                      <w:sz w:val="21"/>
                      <w:szCs w:val="21"/>
                    </w:rPr>
                    <m:t>4</m:t>
                  </m:r>
                </m:den>
              </m:f>
            </m:e>
          </m:d>
        </m:oMath>
      </m:oMathPara>
    </w:p>
    <w:p w14:paraId="5D07E2F1" w14:textId="77777777" w:rsidR="00A628B7" w:rsidRPr="00A628B7" w:rsidRDefault="00A628B7" w:rsidP="00CB1FD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=72-6.931</m:t>
          </m:r>
        </m:oMath>
      </m:oMathPara>
    </w:p>
    <w:p w14:paraId="678AA0B2" w14:textId="476EC0EC" w:rsidR="0063702D" w:rsidRDefault="00A628B7" w:rsidP="0063702D">
      <w:pPr>
        <w:rPr>
          <w:rFonts w:eastAsiaTheme="minorEastAsia"/>
          <w:color w:val="222222"/>
          <w:sz w:val="21"/>
          <w:szCs w:val="21"/>
        </w:rPr>
      </w:pPr>
      <m:oMath>
        <m:r>
          <w:rPr>
            <w:rFonts w:ascii="Cambria Math" w:hAnsi="Cambria Math"/>
          </w:rPr>
          <m:t>=65.069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  <w:color w:val="222222"/>
            <w:sz w:val="21"/>
            <w:szCs w:val="21"/>
          </w:rPr>
          <m:t xml:space="preserve"> </m:t>
        </m:r>
      </m:oMath>
      <w:r w:rsidR="00BA4D50">
        <w:rPr>
          <w:rFonts w:eastAsiaTheme="minorEastAsia"/>
        </w:rPr>
        <w:t xml:space="preserve"> </w:t>
      </w:r>
      <w:r w:rsidR="00BA4D50">
        <w:rPr>
          <w:rFonts w:eastAsiaTheme="minorEastAsia"/>
          <w:color w:val="222222"/>
          <w:sz w:val="21"/>
          <w:szCs w:val="21"/>
        </w:rPr>
        <w:t xml:space="preserve"> </w:t>
      </w:r>
    </w:p>
    <w:p w14:paraId="7EEBEF8D" w14:textId="3C5201EA" w:rsidR="00375977" w:rsidRDefault="00375977" w:rsidP="0063702D">
      <w:pPr>
        <w:rPr>
          <w:rFonts w:eastAsiaTheme="minorEastAsia"/>
          <w:color w:val="222222"/>
          <w:sz w:val="21"/>
          <w:szCs w:val="21"/>
        </w:rPr>
      </w:pPr>
    </w:p>
    <w:tbl>
      <w:tblPr>
        <w:tblW w:w="7300" w:type="dxa"/>
        <w:tblInd w:w="108" w:type="dxa"/>
        <w:tblLook w:val="04A0" w:firstRow="1" w:lastRow="0" w:firstColumn="1" w:lastColumn="0" w:noHBand="0" w:noVBand="1"/>
      </w:tblPr>
      <w:tblGrid>
        <w:gridCol w:w="960"/>
        <w:gridCol w:w="1035"/>
        <w:gridCol w:w="1840"/>
        <w:gridCol w:w="3756"/>
      </w:tblGrid>
      <w:tr w:rsidR="00375977" w:rsidRPr="00375977" w14:paraId="46C3A815" w14:textId="77777777" w:rsidTr="00375977">
        <w:trPr>
          <w:trHeight w:val="14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5F34" w14:textId="77777777" w:rsidR="00375977" w:rsidRPr="00375977" w:rsidRDefault="00375977" w:rsidP="00375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75977">
              <w:rPr>
                <w:rFonts w:ascii="Calibri" w:eastAsia="Times New Roman" w:hAnsi="Calibri" w:cs="Times New Roman"/>
                <w:color w:val="000000"/>
              </w:rPr>
              <w:t>Gy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0FC1" w14:textId="77777777" w:rsidR="00375977" w:rsidRPr="00375977" w:rsidRDefault="00375977" w:rsidP="00375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Fractions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2BFD" w14:textId="77777777" w:rsidR="00375977" w:rsidRPr="00375977" w:rsidRDefault="00375977" w:rsidP="00375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 xml:space="preserve">alpha/beta value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70B0" w14:textId="3B165419" w:rsidR="00375977" w:rsidRPr="00375977" w:rsidRDefault="00375977" w:rsidP="00375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 wp14:anchorId="72966519" wp14:editId="13E108AB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123825</wp:posOffset>
                  </wp:positionV>
                  <wp:extent cx="2076450" cy="619125"/>
                  <wp:effectExtent l="0" t="0" r="0" b="9525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191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0"/>
            </w:tblGrid>
            <w:tr w:rsidR="00375977" w:rsidRPr="00375977" w14:paraId="2C41C54A" w14:textId="77777777">
              <w:trPr>
                <w:trHeight w:val="1410"/>
                <w:tblCellSpacing w:w="0" w:type="dxa"/>
              </w:trPr>
              <w:tc>
                <w:tcPr>
                  <w:tcW w:w="3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0AD95F" w14:textId="77777777" w:rsidR="00375977" w:rsidRPr="00375977" w:rsidRDefault="00375977" w:rsidP="0037597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</w:tbl>
          <w:p w14:paraId="723A6F10" w14:textId="77777777" w:rsidR="00375977" w:rsidRPr="00375977" w:rsidRDefault="00375977" w:rsidP="003759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75977" w:rsidRPr="00375977" w14:paraId="7D7EF438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FD6D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2999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94BE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25C6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290.069</w:t>
            </w:r>
          </w:p>
        </w:tc>
      </w:tr>
      <w:tr w:rsidR="00375977" w:rsidRPr="00375977" w14:paraId="6A75F24E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F9A4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AE44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4E8E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6E21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241.469</w:t>
            </w:r>
          </w:p>
        </w:tc>
      </w:tr>
      <w:tr w:rsidR="00375977" w:rsidRPr="00375977" w14:paraId="0084DD7B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802A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9F54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2BB6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C8EC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209.069</w:t>
            </w:r>
          </w:p>
        </w:tc>
      </w:tr>
      <w:tr w:rsidR="00375977" w:rsidRPr="00375977" w14:paraId="629E9058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5FB3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095A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B74A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7A8F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185.9261429</w:t>
            </w:r>
          </w:p>
        </w:tc>
      </w:tr>
      <w:tr w:rsidR="00375977" w:rsidRPr="00375977" w14:paraId="405E28B1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7C59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5040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9312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01FD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168.569</w:t>
            </w:r>
          </w:p>
        </w:tc>
      </w:tr>
      <w:tr w:rsidR="00375977" w:rsidRPr="00375977" w14:paraId="7FAB64E0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E9B6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DC09" w14:textId="77777777" w:rsidR="00375977" w:rsidRPr="00375977" w:rsidRDefault="00375977" w:rsidP="00375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14EA" w14:textId="77777777" w:rsidR="00375977" w:rsidRPr="00375977" w:rsidRDefault="00375977" w:rsidP="00375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586F" w14:textId="77777777" w:rsidR="00375977" w:rsidRPr="00375977" w:rsidRDefault="00375977" w:rsidP="00375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977" w:rsidRPr="00375977" w14:paraId="5A531145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DB4F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624E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26DF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1F5C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165.569</w:t>
            </w:r>
          </w:p>
        </w:tc>
      </w:tr>
      <w:tr w:rsidR="00375977" w:rsidRPr="00375977" w14:paraId="3DA930B3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5FDB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1B97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5131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7667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143.069</w:t>
            </w:r>
          </w:p>
        </w:tc>
      </w:tr>
      <w:tr w:rsidR="00375977" w:rsidRPr="00375977" w14:paraId="3F00730F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105B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37EA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0970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EA3A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128.069</w:t>
            </w:r>
          </w:p>
        </w:tc>
      </w:tr>
      <w:tr w:rsidR="00375977" w:rsidRPr="00375977" w14:paraId="6A6B883D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E4F0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978A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667F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D60E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117.3547143</w:t>
            </w:r>
          </w:p>
        </w:tc>
      </w:tr>
      <w:tr w:rsidR="00375977" w:rsidRPr="00375977" w14:paraId="4AAF1078" w14:textId="77777777" w:rsidTr="0037597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6BFF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EC55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326E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4641" w14:textId="77777777" w:rsidR="00375977" w:rsidRPr="00375977" w:rsidRDefault="00375977" w:rsidP="003759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75977">
              <w:rPr>
                <w:rFonts w:ascii="Calibri" w:eastAsia="Times New Roman" w:hAnsi="Calibri" w:cs="Times New Roman"/>
                <w:color w:val="000000"/>
              </w:rPr>
              <w:t>109.319</w:t>
            </w:r>
          </w:p>
        </w:tc>
      </w:tr>
    </w:tbl>
    <w:p w14:paraId="31203411" w14:textId="77777777" w:rsidR="00375977" w:rsidRPr="00DE6EDE" w:rsidRDefault="00375977" w:rsidP="0063702D">
      <w:pPr>
        <w:rPr>
          <w:rFonts w:ascii="Arial" w:eastAsia="Times New Roman" w:hAnsi="Arial" w:cs="Arial"/>
          <w:color w:val="222222"/>
          <w:sz w:val="21"/>
          <w:szCs w:val="21"/>
        </w:rPr>
      </w:pPr>
    </w:p>
    <w:p w14:paraId="4C43AA19" w14:textId="77777777" w:rsidR="0063702D" w:rsidRDefault="0063702D" w:rsidP="0063702D">
      <w:r>
        <w:t xml:space="preserve"> </w:t>
      </w:r>
    </w:p>
    <w:p w14:paraId="5AE16E53" w14:textId="2154EA05" w:rsidR="0063702D" w:rsidRPr="00DE6EDE" w:rsidRDefault="0063702D" w:rsidP="006B0F80">
      <w:pPr>
        <w:pStyle w:val="ListParagraph"/>
        <w:numPr>
          <w:ilvl w:val="0"/>
          <w:numId w:val="1"/>
        </w:numPr>
        <w:rPr>
          <w:b/>
        </w:rPr>
      </w:pPr>
      <w:r w:rsidRPr="00DE6EDE">
        <w:rPr>
          <w:b/>
        </w:rPr>
        <w:t xml:space="preserve">What assumptions have you made in your calculations? How do these assumptions </w:t>
      </w:r>
      <w:r w:rsidR="006B0F80" w:rsidRPr="00DE6EDE">
        <w:rPr>
          <w:b/>
        </w:rPr>
        <w:t>affect</w:t>
      </w:r>
      <w:r w:rsidRPr="00DE6EDE">
        <w:rPr>
          <w:b/>
        </w:rPr>
        <w:t xml:space="preserve"> your results? </w:t>
      </w:r>
    </w:p>
    <w:p w14:paraId="586EF73A" w14:textId="0BD0C337" w:rsidR="006B0F80" w:rsidRDefault="006B0F80" w:rsidP="006B0F80">
      <w:pPr>
        <w:ind w:left="360"/>
      </w:pPr>
      <w:r>
        <w:t>The value of alpha/beta is constant for the two case</w:t>
      </w:r>
      <w:r w:rsidR="006A24FA">
        <w:t>s</w:t>
      </w:r>
      <w:r>
        <w:t xml:space="preserve"> presented.</w:t>
      </w:r>
    </w:p>
    <w:p w14:paraId="617A6468" w14:textId="0978C245" w:rsidR="006B0F80" w:rsidRDefault="006B0F80" w:rsidP="006B0F80">
      <w:pPr>
        <w:ind w:left="360"/>
      </w:pPr>
      <w:r>
        <w:t>The time of tumor growth is the same in the two cases represented.</w:t>
      </w:r>
    </w:p>
    <w:p w14:paraId="14364DDB" w14:textId="1C3F19D6" w:rsidR="0063702D" w:rsidRDefault="0063702D" w:rsidP="0063702D">
      <w:r>
        <w:t xml:space="preserve"> </w:t>
      </w:r>
    </w:p>
    <w:p w14:paraId="025586BB" w14:textId="6A091853" w:rsidR="0063702D" w:rsidRPr="00DE6EDE" w:rsidRDefault="0063702D" w:rsidP="006B0F80">
      <w:pPr>
        <w:pStyle w:val="ListParagraph"/>
        <w:numPr>
          <w:ilvl w:val="0"/>
          <w:numId w:val="1"/>
        </w:numPr>
        <w:rPr>
          <w:b/>
        </w:rPr>
      </w:pPr>
      <w:r w:rsidRPr="00DE6EDE">
        <w:rPr>
          <w:b/>
        </w:rPr>
        <w:t xml:space="preserve">What impact would a change in alpha/beta value for the lung </w:t>
      </w:r>
      <w:r w:rsidR="006B0F80" w:rsidRPr="00DE6EDE">
        <w:rPr>
          <w:b/>
        </w:rPr>
        <w:t>tumor</w:t>
      </w:r>
      <w:r w:rsidRPr="00DE6EDE">
        <w:rPr>
          <w:b/>
        </w:rPr>
        <w:t xml:space="preserve"> between </w:t>
      </w:r>
      <w:proofErr w:type="gramStart"/>
      <w:r w:rsidRPr="00DE6EDE">
        <w:rPr>
          <w:b/>
        </w:rPr>
        <w:t>4</w:t>
      </w:r>
      <w:proofErr w:type="gramEnd"/>
      <w:r w:rsidRPr="00DE6EDE">
        <w:rPr>
          <w:b/>
        </w:rPr>
        <w:t xml:space="preserve"> and 8 </w:t>
      </w:r>
      <w:proofErr w:type="spellStart"/>
      <w:r w:rsidRPr="00DE6EDE">
        <w:rPr>
          <w:b/>
        </w:rPr>
        <w:t>Gy</w:t>
      </w:r>
      <w:proofErr w:type="spellEnd"/>
      <w:r w:rsidRPr="00DE6EDE">
        <w:rPr>
          <w:b/>
        </w:rPr>
        <w:t xml:space="preserve"> have on your results? </w:t>
      </w:r>
    </w:p>
    <w:p w14:paraId="76A02242" w14:textId="538E0E8B" w:rsidR="0063702D" w:rsidRDefault="006B0F80" w:rsidP="0054465A">
      <w:pPr>
        <w:ind w:firstLine="720"/>
      </w:pPr>
      <w:r>
        <w:t xml:space="preserve">The increase in alpha/beta values will increase the dose rate of the treatment since it increases the value. </w:t>
      </w:r>
      <w:r w:rsidRPr="006B0F80">
        <w:t xml:space="preserve">Communication over the past three years has questioned whether a simple LQ curve should be directed beyond the standard dose of </w:t>
      </w:r>
      <w:proofErr w:type="gramStart"/>
      <w:r w:rsidRPr="006B0F80">
        <w:t>7</w:t>
      </w:r>
      <w:proofErr w:type="gramEnd"/>
      <w:r w:rsidRPr="006B0F80">
        <w:t xml:space="preserve"> </w:t>
      </w:r>
      <w:proofErr w:type="spellStart"/>
      <w:r w:rsidRPr="006B0F80">
        <w:t>Gy</w:t>
      </w:r>
      <w:proofErr w:type="spellEnd"/>
      <w:r w:rsidRPr="006B0F80">
        <w:t>. This is because the scatter and immature results of SBRT for two and three years after N</w:t>
      </w:r>
      <w:r>
        <w:t xml:space="preserve">SCLC </w:t>
      </w:r>
      <w:proofErr w:type="gramStart"/>
      <w:r>
        <w:t>should not be relied on</w:t>
      </w:r>
      <w:proofErr w:type="gramEnd"/>
      <w:r w:rsidRPr="006B0F80">
        <w:t xml:space="preserve">. In practice, assuming a lung tumor with an </w:t>
      </w:r>
      <w:r w:rsidRPr="006B0F80">
        <w:lastRenderedPageBreak/>
        <w:t xml:space="preserve">alpha/beta of </w:t>
      </w:r>
      <w:proofErr w:type="gramStart"/>
      <w:r>
        <w:t>8</w:t>
      </w:r>
      <w:proofErr w:type="gramEnd"/>
      <w:r>
        <w:t xml:space="preserve"> </w:t>
      </w:r>
      <w:r w:rsidRPr="006B0F80">
        <w:t xml:space="preserve">instead of </w:t>
      </w:r>
      <w:r>
        <w:t xml:space="preserve">4 </w:t>
      </w:r>
      <w:proofErr w:type="spellStart"/>
      <w:r w:rsidRPr="006B0F80">
        <w:t>Gy</w:t>
      </w:r>
      <w:proofErr w:type="spellEnd"/>
      <w:r w:rsidRPr="006B0F80">
        <w:t>, a good stretch can be applied by a simple initial LQ method; I am currently doing this for NSCLC tumors. There is good biological evidence that the highest level of alpha/beta ratio is found in rapidly occurring tumors, for example</w:t>
      </w:r>
      <w:r w:rsidR="006A24FA">
        <w:t>,</w:t>
      </w:r>
      <w:r w:rsidRPr="006B0F80">
        <w:t xml:space="preserve"> in laryngeal tumors, where α/β = </w:t>
      </w:r>
      <w:proofErr w:type="gramStart"/>
      <w:r w:rsidR="00375977">
        <w:t>6</w:t>
      </w:r>
      <w:proofErr w:type="gramEnd"/>
      <w:r w:rsidR="00375977">
        <w:t xml:space="preserve"> </w:t>
      </w:r>
      <w:proofErr w:type="spellStart"/>
      <w:r w:rsidR="00375977">
        <w:t>Gy</w:t>
      </w:r>
      <w:proofErr w:type="spellEnd"/>
      <w:r w:rsidR="00375977">
        <w:t xml:space="preserve"> ratio is estimated. </w:t>
      </w:r>
    </w:p>
    <w:p w14:paraId="784F284C" w14:textId="724B486E" w:rsidR="0063702D" w:rsidRPr="00375977" w:rsidRDefault="0063702D" w:rsidP="00164514">
      <w:pPr>
        <w:pStyle w:val="ListParagraph"/>
        <w:numPr>
          <w:ilvl w:val="0"/>
          <w:numId w:val="1"/>
        </w:numPr>
        <w:rPr>
          <w:b/>
        </w:rPr>
      </w:pPr>
      <w:r w:rsidRPr="00375977">
        <w:rPr>
          <w:b/>
        </w:rPr>
        <w:t>Dose within the target volume may vary between 95% and 107% of the prescribed dos</w:t>
      </w:r>
      <w:r w:rsidR="006A24FA">
        <w:rPr>
          <w:b/>
        </w:rPr>
        <w:t>ag</w:t>
      </w:r>
      <w:r w:rsidRPr="00375977">
        <w:rPr>
          <w:b/>
        </w:rPr>
        <w:t>e. What impact does this have on your res</w:t>
      </w:r>
      <w:r w:rsidR="006A24FA">
        <w:rPr>
          <w:b/>
        </w:rPr>
        <w:t xml:space="preserve">ults I If the delivered dose </w:t>
      </w:r>
      <w:proofErr w:type="gramStart"/>
      <w:r w:rsidR="006A24FA">
        <w:rPr>
          <w:b/>
        </w:rPr>
        <w:t>is</w:t>
      </w:r>
      <w:r w:rsidRPr="00375977">
        <w:rPr>
          <w:b/>
        </w:rPr>
        <w:t>95%</w:t>
      </w:r>
      <w:proofErr w:type="gramEnd"/>
      <w:r w:rsidRPr="00375977">
        <w:rPr>
          <w:b/>
        </w:rPr>
        <w:t xml:space="preserve"> of the prescribed dose what </w:t>
      </w:r>
      <w:r w:rsidR="006A24FA">
        <w:rPr>
          <w:b/>
        </w:rPr>
        <w:t>e</w:t>
      </w:r>
      <w:r w:rsidR="00164514" w:rsidRPr="00375977">
        <w:rPr>
          <w:b/>
        </w:rPr>
        <w:t>ffect</w:t>
      </w:r>
      <w:r w:rsidRPr="00375977">
        <w:rPr>
          <w:b/>
        </w:rPr>
        <w:t xml:space="preserve"> does this have on your conclusions? </w:t>
      </w:r>
    </w:p>
    <w:p w14:paraId="0FC9E239" w14:textId="4D26A7FC" w:rsidR="0063702D" w:rsidRDefault="00164514" w:rsidP="00375977">
      <w:pPr>
        <w:ind w:firstLine="720"/>
      </w:pPr>
      <w:r w:rsidRPr="00164514">
        <w:t>Low-dose prescriptions and permanent doses have this magical benefit and are the only radiation therap</w:t>
      </w:r>
      <w:r>
        <w:t xml:space="preserve">y that achieves 100% treatment </w:t>
      </w:r>
      <w:r w:rsidRPr="00164514">
        <w:t xml:space="preserve">because all doses have X-ray levels at 7000 </w:t>
      </w:r>
      <w:proofErr w:type="spellStart"/>
      <w:r w:rsidRPr="00164514">
        <w:t>cGy</w:t>
      </w:r>
      <w:proofErr w:type="spellEnd"/>
      <w:r w:rsidRPr="00164514">
        <w:t>/week per dose minimum dose</w:t>
      </w:r>
      <w:r>
        <w:t>.</w:t>
      </w:r>
      <w:r w:rsidRPr="00164514">
        <w:t xml:space="preserve"> It is 18% shorter than the tumor effect. </w:t>
      </w:r>
      <w:r w:rsidR="006A24FA">
        <w:t>It</w:t>
      </w:r>
      <w:r w:rsidRPr="00164514">
        <w:t xml:space="preserve"> makes RE 1.18 very close to RE 1.2, which is a common expectation for the external influence of the beam and multiple tumors. Although HDR must be significant, it has s</w:t>
      </w:r>
      <w:r w:rsidR="006A24FA">
        <w:t>ubstantial</w:t>
      </w:r>
      <w:r w:rsidRPr="00164514">
        <w:t xml:space="preserve"> measurements. Limits and </w:t>
      </w:r>
      <w:r w:rsidR="006A24FA">
        <w:t>proper</w:t>
      </w:r>
      <w:r w:rsidRPr="00164514">
        <w:t xml:space="preserve"> geometry</w:t>
      </w:r>
      <w:r w:rsidR="00EB1ABF">
        <w:t>.</w:t>
      </w:r>
    </w:p>
    <w:p w14:paraId="4EF86CDD" w14:textId="0AF38B75" w:rsidR="0063702D" w:rsidRPr="00375977" w:rsidRDefault="0063702D" w:rsidP="00375977">
      <w:pPr>
        <w:pStyle w:val="ListParagraph"/>
        <w:numPr>
          <w:ilvl w:val="0"/>
          <w:numId w:val="1"/>
        </w:numPr>
        <w:rPr>
          <w:b/>
        </w:rPr>
      </w:pPr>
      <w:r w:rsidRPr="00375977">
        <w:rPr>
          <w:b/>
        </w:rPr>
        <w:t xml:space="preserve">If the delivered dose is 107% of the </w:t>
      </w:r>
      <w:r w:rsidR="00EB1ABF" w:rsidRPr="00375977">
        <w:rPr>
          <w:b/>
        </w:rPr>
        <w:t>prescribed,</w:t>
      </w:r>
      <w:r w:rsidRPr="00375977">
        <w:rPr>
          <w:b/>
        </w:rPr>
        <w:t xml:space="preserve"> what impact does this have on your conclusions? </w:t>
      </w:r>
    </w:p>
    <w:p w14:paraId="2B75310E" w14:textId="35C14C04" w:rsidR="0063702D" w:rsidRDefault="00E26E6B" w:rsidP="00375977">
      <w:pPr>
        <w:ind w:firstLine="720"/>
      </w:pPr>
      <w:r w:rsidRPr="00E26E6B">
        <w:t xml:space="preserve">It </w:t>
      </w:r>
      <w:r>
        <w:t>is</w:t>
      </w:r>
      <w:r w:rsidRPr="00E26E6B">
        <w:t xml:space="preserve"> applied to the lung tumor model by the BED test, </w:t>
      </w:r>
      <w:proofErr w:type="gramStart"/>
      <w:r w:rsidRPr="00E26E6B">
        <w:t>and the</w:t>
      </w:r>
      <w:proofErr w:type="gramEnd"/>
      <w:r w:rsidRPr="00E26E6B">
        <w:t xml:space="preserve"> treatment time of lung cancer was shown to be reduced from 6 weeks or </w:t>
      </w:r>
      <w:r w:rsidR="006A24FA">
        <w:t>seven</w:t>
      </w:r>
      <w:r w:rsidRPr="00E26E6B">
        <w:t xml:space="preserve"> weeks to 2 to 3 weeks, and the 3-year recovery rate was </w:t>
      </w:r>
      <w:r w:rsidR="006A24FA">
        <w:t>reduced</w:t>
      </w:r>
      <w:r w:rsidRPr="00E26E6B">
        <w:t xml:space="preserve">. About four stations used this method and proved it to be </w:t>
      </w:r>
      <w:r w:rsidR="006A24FA">
        <w:t>useful</w:t>
      </w:r>
      <w:r w:rsidRPr="00E26E6B">
        <w:t xml:space="preserve">, but it </w:t>
      </w:r>
      <w:proofErr w:type="gramStart"/>
      <w:r w:rsidRPr="00E26E6B">
        <w:t>has been abused</w:t>
      </w:r>
      <w:proofErr w:type="gramEnd"/>
      <w:r w:rsidRPr="00E26E6B">
        <w:t xml:space="preserve"> severa</w:t>
      </w:r>
      <w:r>
        <w:t>l times. At the same time, the daily</w:t>
      </w:r>
      <w:r w:rsidRPr="00E26E6B">
        <w:t xml:space="preserve"> dose of several standard doses of </w:t>
      </w:r>
      <w:proofErr w:type="gramStart"/>
      <w:r w:rsidRPr="00E26E6B">
        <w:t>2</w:t>
      </w:r>
      <w:proofErr w:type="gramEnd"/>
      <w:r w:rsidRPr="00E26E6B">
        <w:t xml:space="preserve"> </w:t>
      </w:r>
      <w:proofErr w:type="spellStart"/>
      <w:r w:rsidRPr="00E26E6B">
        <w:t>Gy</w:t>
      </w:r>
      <w:proofErr w:type="spellEnd"/>
      <w:r w:rsidRPr="00E26E6B">
        <w:t xml:space="preserve"> per day reached more than 80 </w:t>
      </w:r>
      <w:proofErr w:type="spellStart"/>
      <w:r w:rsidRPr="00E26E6B">
        <w:t>Gy</w:t>
      </w:r>
      <w:proofErr w:type="spellEnd"/>
      <w:r w:rsidRPr="00E26E6B">
        <w:t xml:space="preserve">, but at </w:t>
      </w:r>
      <w:r w:rsidR="006A24FA">
        <w:t>nine</w:t>
      </w:r>
      <w:r w:rsidRPr="00E26E6B">
        <w:t xml:space="preserve"> weeks, it showed </w:t>
      </w:r>
      <w:r w:rsidR="006A24FA">
        <w:t>definite long-term</w:t>
      </w:r>
      <w:r w:rsidRPr="00E26E6B">
        <w:t xml:space="preserve"> concern. Therefore, from the beginning of the 21st century, a series of experiments conducted by the National Institutes of Health at least rea</w:t>
      </w:r>
      <w:r>
        <w:t>ched this level of success</w:t>
      </w:r>
      <w:r w:rsidRPr="00E26E6B">
        <w:t xml:space="preserve">. One lane in Amsterdam uses two places every day. </w:t>
      </w:r>
    </w:p>
    <w:p w14:paraId="2F5767EA" w14:textId="471F4FAD" w:rsidR="0063702D" w:rsidRDefault="00E26E6B" w:rsidP="0063702D">
      <w:r>
        <w:t xml:space="preserve"> </w:t>
      </w:r>
    </w:p>
    <w:p w14:paraId="473A3EB2" w14:textId="77777777" w:rsidR="0063702D" w:rsidRPr="0054465A" w:rsidRDefault="0063702D" w:rsidP="0063702D">
      <w:pPr>
        <w:rPr>
          <w:b/>
        </w:rPr>
      </w:pPr>
      <w:r w:rsidRPr="0054465A">
        <w:rPr>
          <w:b/>
        </w:rPr>
        <w:t xml:space="preserve"> Question 2. </w:t>
      </w:r>
    </w:p>
    <w:p w14:paraId="2083FF78" w14:textId="23473F9D" w:rsidR="0063702D" w:rsidRPr="0054465A" w:rsidRDefault="0063702D" w:rsidP="0063702D">
      <w:pPr>
        <w:rPr>
          <w:b/>
        </w:rPr>
      </w:pPr>
      <w:r w:rsidRPr="0054465A">
        <w:rPr>
          <w:b/>
        </w:rPr>
        <w:t xml:space="preserve"> Current understanding and recommended modelling techniques for radiation pneumonitis has been presented in the lung QUANTEC report (Marks, L. B., S. M. </w:t>
      </w:r>
      <w:proofErr w:type="spellStart"/>
      <w:r w:rsidRPr="0054465A">
        <w:rPr>
          <w:b/>
        </w:rPr>
        <w:t>Bentzen</w:t>
      </w:r>
      <w:proofErr w:type="spellEnd"/>
      <w:r w:rsidRPr="0054465A">
        <w:rPr>
          <w:b/>
        </w:rPr>
        <w:t xml:space="preserve">, J. O. </w:t>
      </w:r>
      <w:proofErr w:type="spellStart"/>
      <w:r w:rsidRPr="0054465A">
        <w:rPr>
          <w:b/>
        </w:rPr>
        <w:t>Deasy</w:t>
      </w:r>
      <w:proofErr w:type="spellEnd"/>
      <w:r w:rsidRPr="0054465A">
        <w:rPr>
          <w:b/>
        </w:rPr>
        <w:t xml:space="preserve">, F. M. Kong, J. D. Bradley, I. S. </w:t>
      </w:r>
      <w:proofErr w:type="spellStart"/>
      <w:r w:rsidRPr="0054465A">
        <w:rPr>
          <w:b/>
        </w:rPr>
        <w:t>Vogelius</w:t>
      </w:r>
      <w:proofErr w:type="spellEnd"/>
      <w:r w:rsidRPr="0054465A">
        <w:rPr>
          <w:b/>
        </w:rPr>
        <w:t xml:space="preserve">, I. El </w:t>
      </w:r>
      <w:proofErr w:type="spellStart"/>
      <w:r w:rsidRPr="0054465A">
        <w:rPr>
          <w:b/>
        </w:rPr>
        <w:t>Naqa</w:t>
      </w:r>
      <w:proofErr w:type="spellEnd"/>
      <w:r w:rsidRPr="0054465A">
        <w:rPr>
          <w:b/>
        </w:rPr>
        <w:t xml:space="preserve">, J. L. Hubbs, J. V. </w:t>
      </w:r>
      <w:proofErr w:type="spellStart"/>
      <w:r w:rsidRPr="0054465A">
        <w:rPr>
          <w:b/>
        </w:rPr>
        <w:t>Lebesque</w:t>
      </w:r>
      <w:proofErr w:type="spellEnd"/>
      <w:r w:rsidRPr="0054465A">
        <w:rPr>
          <w:b/>
        </w:rPr>
        <w:t xml:space="preserve">, R. D. Timmerman, M. K. Martel and A. Jackson (2010). "Radiation dose-volume effects in the lung." </w:t>
      </w:r>
      <w:proofErr w:type="spellStart"/>
      <w:r w:rsidRPr="0054465A">
        <w:rPr>
          <w:b/>
        </w:rPr>
        <w:t>Int</w:t>
      </w:r>
      <w:proofErr w:type="spellEnd"/>
      <w:r w:rsidRPr="0054465A">
        <w:rPr>
          <w:b/>
        </w:rPr>
        <w:t xml:space="preserve"> J </w:t>
      </w:r>
      <w:proofErr w:type="spellStart"/>
      <w:r w:rsidRPr="0054465A">
        <w:rPr>
          <w:b/>
        </w:rPr>
        <w:t>Radiat</w:t>
      </w:r>
      <w:proofErr w:type="spellEnd"/>
      <w:r w:rsidRPr="0054465A">
        <w:rPr>
          <w:b/>
        </w:rPr>
        <w:t xml:space="preserve"> </w:t>
      </w:r>
      <w:proofErr w:type="spellStart"/>
      <w:r w:rsidRPr="0054465A">
        <w:rPr>
          <w:b/>
        </w:rPr>
        <w:t>Oncol</w:t>
      </w:r>
      <w:proofErr w:type="spellEnd"/>
      <w:r w:rsidRPr="0054465A">
        <w:rPr>
          <w:b/>
        </w:rPr>
        <w:t xml:space="preserve"> </w:t>
      </w:r>
      <w:proofErr w:type="spellStart"/>
      <w:r w:rsidRPr="0054465A">
        <w:rPr>
          <w:b/>
        </w:rPr>
        <w:t>Biol</w:t>
      </w:r>
      <w:proofErr w:type="spellEnd"/>
      <w:r w:rsidRPr="0054465A">
        <w:rPr>
          <w:b/>
        </w:rPr>
        <w:t xml:space="preserve"> </w:t>
      </w:r>
      <w:proofErr w:type="spellStart"/>
      <w:r w:rsidRPr="0054465A">
        <w:rPr>
          <w:b/>
        </w:rPr>
        <w:t>Phys</w:t>
      </w:r>
      <w:proofErr w:type="spellEnd"/>
      <w:r w:rsidRPr="0054465A">
        <w:rPr>
          <w:b/>
        </w:rPr>
        <w:t xml:space="preserve"> 76(</w:t>
      </w:r>
      <w:proofErr w:type="gramStart"/>
      <w:r w:rsidRPr="0054465A">
        <w:rPr>
          <w:b/>
        </w:rPr>
        <w:t>3</w:t>
      </w:r>
      <w:proofErr w:type="gramEnd"/>
      <w:r w:rsidRPr="0054465A">
        <w:rPr>
          <w:b/>
        </w:rPr>
        <w:t xml:space="preserve"> </w:t>
      </w:r>
      <w:proofErr w:type="spellStart"/>
      <w:r w:rsidRPr="0054465A">
        <w:rPr>
          <w:b/>
        </w:rPr>
        <w:t>Suppl</w:t>
      </w:r>
      <w:proofErr w:type="spellEnd"/>
      <w:r w:rsidRPr="0054465A">
        <w:rPr>
          <w:b/>
        </w:rPr>
        <w:t xml:space="preserve">): S70-76.).   This report suggests that the Lyman Kutcher Burman (a </w:t>
      </w:r>
      <w:proofErr w:type="spellStart"/>
      <w:r w:rsidRPr="0054465A">
        <w:rPr>
          <w:b/>
        </w:rPr>
        <w:t>probit</w:t>
      </w:r>
      <w:proofErr w:type="spellEnd"/>
      <w:r w:rsidRPr="0054465A">
        <w:rPr>
          <w:b/>
        </w:rPr>
        <w:t xml:space="preserve">) model and a logit model </w:t>
      </w:r>
      <w:proofErr w:type="gramStart"/>
      <w:r w:rsidRPr="0054465A">
        <w:rPr>
          <w:b/>
        </w:rPr>
        <w:t>could both be considered</w:t>
      </w:r>
      <w:proofErr w:type="gramEnd"/>
      <w:r w:rsidRPr="0054465A">
        <w:rPr>
          <w:b/>
        </w:rPr>
        <w:t xml:space="preserve"> in modeling risk estimates and presents possible different parameters for each. </w:t>
      </w:r>
    </w:p>
    <w:p w14:paraId="02EC590B" w14:textId="77777777" w:rsidR="0063702D" w:rsidRPr="0054465A" w:rsidRDefault="0063702D" w:rsidP="0063702D">
      <w:pPr>
        <w:rPr>
          <w:b/>
        </w:rPr>
      </w:pPr>
      <w:r w:rsidRPr="0054465A">
        <w:rPr>
          <w:b/>
        </w:rPr>
        <w:t xml:space="preserve"> </w:t>
      </w:r>
    </w:p>
    <w:p w14:paraId="4020A22F" w14:textId="2B3ECCE5" w:rsidR="0063702D" w:rsidRPr="0054465A" w:rsidRDefault="0063702D" w:rsidP="0063702D">
      <w:pPr>
        <w:rPr>
          <w:b/>
        </w:rPr>
      </w:pPr>
      <w:r w:rsidRPr="0054465A">
        <w:rPr>
          <w:b/>
        </w:rPr>
        <w:t>Some possible parameters for the risk of radiation p</w:t>
      </w:r>
      <w:r w:rsidR="006A24FA">
        <w:rPr>
          <w:b/>
        </w:rPr>
        <w:t>ne</w:t>
      </w:r>
      <w:r w:rsidRPr="0054465A">
        <w:rPr>
          <w:b/>
        </w:rPr>
        <w:t xml:space="preserve">umonitis extracted from this paper include the following: a / b = 4 </w:t>
      </w:r>
      <w:proofErr w:type="spellStart"/>
      <w:r w:rsidRPr="0054465A">
        <w:rPr>
          <w:b/>
        </w:rPr>
        <w:t>Gy</w:t>
      </w:r>
      <w:proofErr w:type="spellEnd"/>
      <w:r w:rsidRPr="0054465A">
        <w:rPr>
          <w:b/>
        </w:rPr>
        <w:t xml:space="preserve"> For a logit fit: TD50 = 30.8 </w:t>
      </w:r>
      <w:proofErr w:type="spellStart"/>
      <w:r w:rsidRPr="0054465A">
        <w:rPr>
          <w:b/>
        </w:rPr>
        <w:t>Gy</w:t>
      </w:r>
      <w:proofErr w:type="spellEnd"/>
      <w:r w:rsidRPr="0054465A">
        <w:rPr>
          <w:b/>
        </w:rPr>
        <w:t xml:space="preserve"> and g50=0.97 For the Lyman Kutcher Burman model: TD50=31.4 </w:t>
      </w:r>
      <w:proofErr w:type="spellStart"/>
      <w:r w:rsidRPr="0054465A">
        <w:rPr>
          <w:b/>
        </w:rPr>
        <w:t>Gy</w:t>
      </w:r>
      <w:proofErr w:type="spellEnd"/>
      <w:r w:rsidRPr="0054465A">
        <w:rPr>
          <w:b/>
        </w:rPr>
        <w:t xml:space="preserve">, m=0.45 and n=1.03 </w:t>
      </w:r>
    </w:p>
    <w:p w14:paraId="3EFABED7" w14:textId="1ED6A33D" w:rsidR="0063702D" w:rsidRPr="0054465A" w:rsidRDefault="0063702D" w:rsidP="0063702D">
      <w:pPr>
        <w:rPr>
          <w:b/>
        </w:rPr>
      </w:pPr>
      <w:r w:rsidRPr="0054465A">
        <w:rPr>
          <w:b/>
        </w:rPr>
        <w:t xml:space="preserve"> </w:t>
      </w:r>
      <w:proofErr w:type="gramStart"/>
      <w:r w:rsidRPr="0054465A">
        <w:rPr>
          <w:b/>
        </w:rPr>
        <w:t>a</w:t>
      </w:r>
      <w:proofErr w:type="gramEnd"/>
      <w:r w:rsidRPr="0054465A">
        <w:rPr>
          <w:b/>
        </w:rPr>
        <w:t xml:space="preserve">) Determine the risk of radiation pneumonitis (lung damage) for the logit models for the fractionation schedules presented in question 1. </w:t>
      </w:r>
    </w:p>
    <w:p w14:paraId="34781FD0" w14:textId="77777777" w:rsidR="0063702D" w:rsidRDefault="0063702D" w:rsidP="0063702D">
      <w:r>
        <w:t xml:space="preserve"> </w:t>
      </w:r>
    </w:p>
    <w:p w14:paraId="72B80B91" w14:textId="2F6CEE7A" w:rsidR="00BA140C" w:rsidRDefault="00BA140C" w:rsidP="0054465A">
      <w:pPr>
        <w:ind w:firstLine="720"/>
      </w:pPr>
      <w:r>
        <w:lastRenderedPageBreak/>
        <w:t xml:space="preserve">The extent and type of radiation damage to the lung depend on the dose administered, the classification plan, the amount of pulmonary edema, and the patient's </w:t>
      </w:r>
      <w:r w:rsidR="00393ECF">
        <w:t>radio sensitivity</w:t>
      </w:r>
      <w:r>
        <w:t xml:space="preserve">. As intermediate and delayed-reacting tissues, the lungs have two potential side effects to consider. Acute pneumonia occurring 2-6 months after radiotherapy and (ii) </w:t>
      </w:r>
      <w:r w:rsidR="006A24FA">
        <w:t>delayed</w:t>
      </w:r>
      <w:r>
        <w:t xml:space="preserve"> adverse reactions, multiple fibrosis, in months or couples Development over </w:t>
      </w:r>
      <w:r w:rsidR="006A24FA">
        <w:t>some</w:t>
      </w:r>
      <w:r>
        <w:t xml:space="preserve"> time. NTCP model and diagnostic study of non-small cell lung radiation pneumonitis. </w:t>
      </w:r>
      <w:r w:rsidR="00393ECF">
        <w:t xml:space="preserve"> </w:t>
      </w:r>
    </w:p>
    <w:p w14:paraId="718CF0D5" w14:textId="0884DBBE" w:rsidR="00083921" w:rsidRPr="0054465A" w:rsidRDefault="00393ECF" w:rsidP="00083921">
      <w:pPr>
        <w:rPr>
          <w:b/>
        </w:rPr>
      </w:pPr>
      <w:r>
        <w:t>The current and proposed methods for the classification of radiation pneumonitis have been proposed in the QUANTEC lung report. There is an influence of lung radiation on the lungs</w:t>
      </w:r>
      <w:r w:rsidR="009A4AAE">
        <w:t>.</w:t>
      </w:r>
      <w:r>
        <w:t xml:space="preserve"> The report shows that the Lyman Kutcher Burman model (model) and reference model can be considered when estimating risk estimates and provide different criteria for each model.</w:t>
      </w:r>
      <w:r w:rsidR="00083921">
        <w:t xml:space="preserve"> </w:t>
      </w:r>
      <w:bookmarkStart w:id="0" w:name="_GoBack"/>
      <w:bookmarkEnd w:id="0"/>
    </w:p>
    <w:p w14:paraId="4B1524B8" w14:textId="0A68CCFE" w:rsidR="00393ECF" w:rsidRPr="00083921" w:rsidRDefault="00393ECF" w:rsidP="00083921">
      <w:pPr>
        <w:ind w:firstLine="720"/>
        <w:rPr>
          <w:b/>
        </w:rPr>
      </w:pPr>
    </w:p>
    <w:p w14:paraId="770D01CA" w14:textId="5001A819" w:rsidR="00083921" w:rsidRPr="00083921" w:rsidRDefault="00902F0C" w:rsidP="00393ECF">
      <w:pPr>
        <w:ind w:firstLine="72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NTCP=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2π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-∞</m:t>
              </m:r>
            </m:sub>
            <m:sup>
              <m:r>
                <w:rPr>
                  <w:rFonts w:ascii="Cambria Math" w:hAnsi="Cambria Math"/>
                </w:rPr>
                <m:t>x</m:t>
              </m:r>
            </m:sup>
            <m:e>
              <m:r>
                <w:rPr>
                  <w:rFonts w:ascii="Cambria Math" w:hAnsi="Cambria Math"/>
                </w:rPr>
                <m:t>exp</m:t>
              </m:r>
            </m:e>
          </m:nary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</w:rPr>
            <m:t>dt</m:t>
          </m:r>
          <m:r>
            <w:rPr>
              <w:rFonts w:ascii="Cambria Math" w:hAnsi="Cambria Math"/>
            </w:rPr>
            <m:t>=-2 exp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</w:rPr>
            <m:t xml:space="preserve"> </m:t>
          </m:r>
        </m:oMath>
      </m:oMathPara>
    </w:p>
    <w:p w14:paraId="04C520B0" w14:textId="77777777" w:rsidR="00083921" w:rsidRPr="00083921" w:rsidRDefault="00902F0C" w:rsidP="00393ECF">
      <w:pPr>
        <w:ind w:firstLine="72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D-</m:t>
              </m:r>
              <m:r>
                <w:rPr>
                  <w:rFonts w:ascii="Cambria Math" w:hAnsi="Cambria Math"/>
                </w:rPr>
                <m:t>T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50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T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50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V</m:t>
              </m:r>
            </m:e>
          </m:d>
          <m:r>
            <w:rPr>
              <w:rFonts w:ascii="Cambria Math" w:hAnsi="Cambria Math"/>
            </w:rPr>
            <m:t xml:space="preserve"> </m:t>
          </m:r>
        </m:oMath>
      </m:oMathPara>
    </w:p>
    <w:p w14:paraId="1D134D30" w14:textId="77777777" w:rsidR="002F7E27" w:rsidRPr="002F7E27" w:rsidRDefault="00083921" w:rsidP="00393ECF">
      <w:pPr>
        <w:ind w:firstLine="72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T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50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 xml:space="preserve">= </m:t>
          </m:r>
          <m:r>
            <w:rPr>
              <w:rFonts w:ascii="Cambria Math" w:hAnsi="Cambria Math"/>
            </w:rPr>
            <m:t>T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50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V</m:t>
              </m:r>
            </m:e>
          </m:d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</m:e>
            <m:sup>
              <m:r>
                <w:rPr>
                  <w:rFonts w:ascii="Cambria Math" w:hAnsi="Cambria Math"/>
                </w:rPr>
                <m:t>-n</m:t>
              </m:r>
            </m:sup>
          </m:sSup>
          <m:r>
            <w:rPr>
              <w:rFonts w:ascii="Cambria Math" w:hAnsi="Cambria Math"/>
            </w:rPr>
            <m:t>=NTCP</m:t>
          </m:r>
        </m:oMath>
      </m:oMathPara>
    </w:p>
    <w:p w14:paraId="5798B8BC" w14:textId="6732A5E6" w:rsidR="00902F0C" w:rsidRPr="00083921" w:rsidRDefault="00083921" w:rsidP="00393ECF">
      <w:pPr>
        <w:ind w:firstLine="72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=0.2251</m:t>
          </m:r>
        </m:oMath>
      </m:oMathPara>
    </w:p>
    <w:p w14:paraId="6A74BE10" w14:textId="77777777" w:rsidR="00083921" w:rsidRPr="00083921" w:rsidRDefault="00083921" w:rsidP="00393ECF">
      <w:pPr>
        <w:ind w:firstLine="720"/>
        <w:rPr>
          <w:rFonts w:eastAsiaTheme="minorEastAsia"/>
        </w:rPr>
      </w:pPr>
    </w:p>
    <w:p w14:paraId="052E755F" w14:textId="77777777" w:rsidR="00393ECF" w:rsidRDefault="00393ECF" w:rsidP="00393ECF">
      <w:pPr>
        <w:ind w:firstLine="720"/>
      </w:pPr>
    </w:p>
    <w:p w14:paraId="043C7268" w14:textId="14925258" w:rsidR="0063702D" w:rsidRDefault="0063702D" w:rsidP="0063702D">
      <w:r>
        <w:t xml:space="preserve">b) </w:t>
      </w:r>
      <w:r w:rsidRPr="0054465A">
        <w:rPr>
          <w:b/>
        </w:rPr>
        <w:t>Describe two assumptions or limitations of modeling NTCP.</w:t>
      </w:r>
      <w:r>
        <w:t xml:space="preserve"> </w:t>
      </w:r>
    </w:p>
    <w:p w14:paraId="08DA5319" w14:textId="2A75141E" w:rsidR="0054465A" w:rsidRDefault="0054465A" w:rsidP="0063702D">
      <w:r>
        <w:t>It does not give accurate data</w:t>
      </w:r>
    </w:p>
    <w:p w14:paraId="73D984AA" w14:textId="68918834" w:rsidR="0054465A" w:rsidRDefault="0054465A" w:rsidP="0063702D">
      <w:r>
        <w:t>It is note</w:t>
      </w:r>
      <w:r w:rsidR="006A24FA">
        <w:t>d</w:t>
      </w:r>
      <w:r>
        <w:t xml:space="preserve"> widely practiced</w:t>
      </w:r>
    </w:p>
    <w:p w14:paraId="1DFDA8C5" w14:textId="77777777" w:rsidR="0063702D" w:rsidRDefault="0063702D" w:rsidP="0063702D">
      <w:r>
        <w:t xml:space="preserve"> </w:t>
      </w:r>
    </w:p>
    <w:p w14:paraId="27404EC1" w14:textId="77777777" w:rsidR="0063702D" w:rsidRDefault="0063702D" w:rsidP="0063702D">
      <w:r>
        <w:t xml:space="preserve"> </w:t>
      </w:r>
    </w:p>
    <w:p w14:paraId="691A1D00" w14:textId="77777777" w:rsidR="0063702D" w:rsidRDefault="0063702D" w:rsidP="0063702D">
      <w:r>
        <w:t xml:space="preserve"> </w:t>
      </w:r>
    </w:p>
    <w:p w14:paraId="29D76F81" w14:textId="6DA9D63C" w:rsidR="0063702D" w:rsidRPr="0063702D" w:rsidRDefault="0063702D" w:rsidP="0063702D"/>
    <w:sectPr w:rsidR="0063702D" w:rsidRPr="00637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F1A99"/>
    <w:multiLevelType w:val="hybridMultilevel"/>
    <w:tmpl w:val="47C48F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CIjMTczMDC2Mgy9xYSUcpOLW4ODM/D6TAuBYA1SFrbSwAAAA="/>
  </w:docVars>
  <w:rsids>
    <w:rsidRoot w:val="0063702D"/>
    <w:rsid w:val="000140CC"/>
    <w:rsid w:val="00083921"/>
    <w:rsid w:val="00164514"/>
    <w:rsid w:val="002F7E27"/>
    <w:rsid w:val="00375977"/>
    <w:rsid w:val="00393ECF"/>
    <w:rsid w:val="003A766A"/>
    <w:rsid w:val="0054465A"/>
    <w:rsid w:val="0063702D"/>
    <w:rsid w:val="006A24FA"/>
    <w:rsid w:val="006B0F80"/>
    <w:rsid w:val="00852883"/>
    <w:rsid w:val="008F40F8"/>
    <w:rsid w:val="00902F0C"/>
    <w:rsid w:val="009A4AAE"/>
    <w:rsid w:val="00A628B7"/>
    <w:rsid w:val="00AA3F21"/>
    <w:rsid w:val="00B81F01"/>
    <w:rsid w:val="00BA140C"/>
    <w:rsid w:val="00BA4D50"/>
    <w:rsid w:val="00CB1FD2"/>
    <w:rsid w:val="00D54D57"/>
    <w:rsid w:val="00DE6EDE"/>
    <w:rsid w:val="00E26E6B"/>
    <w:rsid w:val="00EB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EAEA9"/>
  <w15:docId w15:val="{94DC9DC2-9AFE-47EC-BF76-4B5BA772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8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B1F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1122</Words>
  <Characters>6399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Raghad Ibrahem A Farsi</dc:creator>
  <cp:lastModifiedBy>weaponjunior</cp:lastModifiedBy>
  <cp:revision>12</cp:revision>
  <dcterms:created xsi:type="dcterms:W3CDTF">2019-09-17T00:45:00Z</dcterms:created>
  <dcterms:modified xsi:type="dcterms:W3CDTF">2019-09-19T07:17:00Z</dcterms:modified>
</cp:coreProperties>
</file>